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93</w:t>
      </w:r>
    </w:p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NAŘÍZENÍ VLÁDY</w:t>
      </w:r>
    </w:p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ze dne 30. března 2015,</w:t>
      </w:r>
    </w:p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kterým se mění nařízení vlády č. 26/2003 Sb., kterým se stanoví technické požadavky</w:t>
      </w: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tlaková zařízení, ve znění nařízení vlády č. 621/2004 Sb.</w:t>
      </w:r>
    </w:p>
    <w:p w:rsidR="00776513" w:rsidRPr="002B5A5F" w:rsidRDefault="00776513" w:rsidP="007765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5A5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3368A6A" wp14:editId="1E68D8E1">
            <wp:extent cx="352425" cy="28575"/>
            <wp:effectExtent l="19050" t="0" r="9525" b="0"/>
            <wp:docPr id="1" name="obrázek 1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Vláda nařizuje podle § 22 zákona č. 22/1997 Sb., o technických požadavcích na výrobky a o změně a doplnění některých zákonů, ve znění zákona č. 205/2002 Sb. a zákona č. 34/2011 Sb., (dále jen "zákon") k provedení § 11 odst. 2, § 11a odst. 2 písm. c), § 12 odst. 1 a 3 a § 13 odst. 2 zákona: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</w:t>
      </w:r>
    </w:p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5A5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754F772" wp14:editId="51A5A3BC">
            <wp:extent cx="352425" cy="28575"/>
            <wp:effectExtent l="19050" t="0" r="9525" b="0"/>
            <wp:docPr id="2" name="obrázek 2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Nařízení vlády č. 26/2003 Sb., kterým se stanoví technické požadavky na tlaková zařízení, ve znění nařízení vlády č. 621/2004 Sb., se mění takto: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5A5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A873C89" wp14:editId="112A3A6D">
            <wp:extent cx="352425" cy="28575"/>
            <wp:effectExtent l="19050" t="0" r="9525" b="0"/>
            <wp:docPr id="3" name="obrázek 3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1. V § 1 odst. 1 se slova "Tímto nařízením se v souladu s právem Evropských společenství</w:t>
      </w:r>
      <w:r w:rsidRPr="002B5A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stanoví" nahrazují slovy "Toto nařízení zapracovává příslušné předpisy Evropské unie</w:t>
      </w:r>
      <w:r w:rsidRPr="002B5A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1)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upravuje".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Poznámka pod čarou č. 1 zní: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______________________________________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"1) 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Směrnice Evropského parlamentu a Rady 97/23/ES ze dne 29. května 1997 o sbližování právních předpisů členských států týkajících se tlakových zařízení.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Směrnice Evropského parlamentu a Rady 2014/68/EU ze dne 15. května 2014 o harmonizaci právních předpisů členských států týkajících se dodávání tlakových zařízení na trh.".</w:t>
      </w:r>
    </w:p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C10153B" wp14:editId="300B43AA">
            <wp:extent cx="352425" cy="28575"/>
            <wp:effectExtent l="19050" t="0" r="9525" b="0"/>
            <wp:docPr id="4" name="obrázek 4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2. V § 3 odst. 2 písmeno a) včetně poznámky pod čarou č. 7 zní: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"a) 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skupina 1 zahrnuje látky a směsi, jejichž definice je uvedena v čl. 2 bodech 7 a 8 nařízení (ES) č. 1272/2008</w:t>
      </w:r>
      <w:r w:rsidRPr="002B5A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7)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které jsou klasifikovány jako nebezpečné podle následujících tříd fyzikální nebezpečnosti nebo nebezpečnosti pro zdraví, stanovených v částech 2 a 3 přílohy I nařízení (ES) č. 1272/2008: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nestabilní výbušniny nebo výbušniny podtřídy 1.1, 1.2, 1.3, 1.4 a 1.5,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hořlavé plyny kategorie 1 a 2,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oxidující plyny kategorie 1,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hořlavé kapaliny kategorie 1 a 2,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hořlavé kapaliny kategorie 3, je-li nejvyšší dovolená teplota vyšší než bod vzplanutí,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hořlavé tuhé látky kategorie 1 a 2,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samovolně reagující látky a směsi typů A až F,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samozápalné kapaliny kategorie 1,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samozápalné tuhé látky kategorie 1,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látky a směsi, které při styku s vodou uvolňují hořlavé plyny, kategorie 1, 2 a 3,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oxidující kapaliny kategorie 1, 2 a 3,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oxidující tuhé látky kategorie 1, 2 a 3,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13.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organické peroxidy typů A až F,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akutní orální toxicita kategorie 1 a 2,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akutní dermální toxicita kategorie 1 a 2,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akutní inhalační toxicita kategorie 1, 2 a 3,</w:t>
      </w:r>
    </w:p>
    <w:p w:rsidR="00776513" w:rsidRPr="002B5A5F" w:rsidRDefault="00776513" w:rsidP="00776513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17. 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toxicita pro specifické cílové orgány - jednorázová expozice kategorie 1;</w:t>
      </w:r>
    </w:p>
    <w:p w:rsidR="00776513" w:rsidRPr="002B5A5F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skupina 1 zahrnuje rovněž látky a směsi obsažené v tlakových zařízeních s nejvyšší dovolenou teplotou TS, která přesahuje bod vzplanutí tekutiny,</w:t>
      </w:r>
    </w:p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______________________________________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7) </w:t>
      </w:r>
    </w:p>
    <w:p w:rsidR="00776513" w:rsidRPr="009357D2" w:rsidRDefault="00776513" w:rsidP="00776513">
      <w:pPr>
        <w:spacing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Nařízení Evropského parlamentu a Rady (ES) č. 1272/2008 ze dne 16. prosince 2008 o klasifikaci, označování a balení látek a směsí, o změně a zrušení směrnic 67/548/EHS </w:t>
      </w:r>
      <w:bookmarkStart w:id="0" w:name="_GoBack"/>
      <w:r w:rsidRPr="009357D2">
        <w:rPr>
          <w:rFonts w:ascii="Times New Roman" w:eastAsia="Times New Roman" w:hAnsi="Times New Roman" w:cs="Times New Roman"/>
          <w:sz w:val="24"/>
          <w:szCs w:val="24"/>
          <w:lang w:eastAsia="cs-CZ"/>
        </w:rPr>
        <w:t>a 1999/45/ES a o změně nařízení (ES) č. 1907/2006.".</w:t>
      </w:r>
    </w:p>
    <w:p w:rsidR="00776513" w:rsidRPr="002B5A5F" w:rsidRDefault="00776513" w:rsidP="007765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357D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D89DBD9" wp14:editId="7CC3BCD0">
            <wp:extent cx="352425" cy="28575"/>
            <wp:effectExtent l="19050" t="0" r="9525" b="0"/>
            <wp:docPr id="5" name="obrázek 5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7D2">
        <w:rPr>
          <w:rFonts w:ascii="Times New Roman" w:eastAsia="Times New Roman" w:hAnsi="Times New Roman" w:cs="Times New Roman"/>
          <w:sz w:val="24"/>
          <w:szCs w:val="24"/>
          <w:lang w:eastAsia="cs-CZ"/>
        </w:rPr>
        <w:t>3. V § 3 odst. 2 písm. b) se slovo "tekutiny" nahrazuje slovy "látky a směsi".</w:t>
      </w:r>
      <w:r w:rsidRPr="009357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357D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357D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C2F8579" wp14:editId="4620745C">
            <wp:extent cx="352425" cy="28575"/>
            <wp:effectExtent l="19050" t="0" r="9525" b="0"/>
            <wp:docPr id="6" name="obrázek 6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357D2">
        <w:rPr>
          <w:rFonts w:ascii="Times New Roman" w:eastAsia="Times New Roman" w:hAnsi="Times New Roman" w:cs="Times New Roman"/>
          <w:sz w:val="24"/>
          <w:szCs w:val="24"/>
          <w:lang w:eastAsia="cs-CZ"/>
        </w:rPr>
        <w:t>4. V § 3 odst. 3 se slova "vyšší skupinu" nahrazují slovy "nejvyšší kategorii".</w:t>
      </w:r>
      <w:bookmarkEnd w:id="0"/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Čl. II</w:t>
      </w:r>
    </w:p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Účinnost</w:t>
      </w:r>
    </w:p>
    <w:p w:rsidR="00776513" w:rsidRPr="002B5A5F" w:rsidRDefault="00776513" w:rsidP="007765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B5A5F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3F1910E" wp14:editId="555692F6">
            <wp:extent cx="352425" cy="28575"/>
            <wp:effectExtent l="19050" t="0" r="9525" b="0"/>
            <wp:docPr id="7" name="obrázek 7" descr="http://www.sbirka.cz/POSL4TYD/NOVE/ta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birka.cz/POSL4TYD/NOVE/ta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Toto nařízení nabývá účinnosti dnem 1. června 2015.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vlády:</w:t>
      </w: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Pr="002B5A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Sobotka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v. r.</w:t>
      </w:r>
    </w:p>
    <w:p w:rsidR="00776513" w:rsidRPr="002B5A5F" w:rsidRDefault="00776513" w:rsidP="0077651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Ministr průmyslu a obchodu:</w:t>
      </w:r>
    </w:p>
    <w:p w:rsidR="00776513" w:rsidRPr="002B5A5F" w:rsidRDefault="00776513" w:rsidP="0077651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Ing. </w:t>
      </w:r>
      <w:r w:rsidRPr="002B5A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Mládek</w:t>
      </w:r>
      <w:r w:rsidRPr="002B5A5F">
        <w:rPr>
          <w:rFonts w:ascii="Times New Roman" w:eastAsia="Times New Roman" w:hAnsi="Times New Roman" w:cs="Times New Roman"/>
          <w:sz w:val="24"/>
          <w:szCs w:val="24"/>
          <w:lang w:eastAsia="cs-CZ"/>
        </w:rPr>
        <w:t>, CSc., v. r.</w:t>
      </w:r>
    </w:p>
    <w:p w:rsidR="00135A2B" w:rsidRDefault="00135A2B"/>
    <w:sectPr w:rsidR="00135A2B" w:rsidSect="00135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13"/>
    <w:rsid w:val="00135A2B"/>
    <w:rsid w:val="002B5A5F"/>
    <w:rsid w:val="00776513"/>
    <w:rsid w:val="0093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A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5A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5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Pinďa</dc:creator>
  <cp:lastModifiedBy>lukas</cp:lastModifiedBy>
  <cp:revision>3</cp:revision>
  <dcterms:created xsi:type="dcterms:W3CDTF">2015-04-29T19:05:00Z</dcterms:created>
  <dcterms:modified xsi:type="dcterms:W3CDTF">2015-04-29T19:05:00Z</dcterms:modified>
</cp:coreProperties>
</file>